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240" w:line="288" w:lineRule="auto"/>
        <w:ind/>
        <w:rPr/>
      </w:pPr>
      <w:r/>
      <w:bookmarkStart w:id="0" w:name="rapport_stratégique_2026_2030"/>
      <w:r>
        <w:rPr>
          <w:rFonts w:ascii="Georgia" w:hAnsi="Georgia" w:eastAsia="Georgia" w:cs="Georgia"/>
          <w:b/>
          <w:sz w:val="56"/>
        </w:rPr>
        <w:t xml:space="preserve">Rapport Stratégique 2026-2030</w:t>
      </w:r>
      <w:bookmarkEnd w:id="0"/>
      <w:r/>
      <w:r/>
    </w:p>
    <w:p>
      <w:pPr>
        <w:pBdr/>
        <w:spacing w:before="240" w:line="271" w:lineRule="auto"/>
        <w:ind/>
        <w:rPr/>
      </w:pPr>
      <w:r/>
      <w:bookmarkStart w:id="1" w:name="precisitech_industries"/>
      <w:r>
        <w:rPr>
          <w:b/>
          <w:sz w:val="42"/>
        </w:rPr>
        <w:t xml:space="preserve">ELGOTECH Industries</w:t>
      </w:r>
      <w:bookmarkEnd w:id="1"/>
      <w:r/>
      <w:r/>
    </w:p>
    <w:p>
      <w:pPr>
        <w:pBdr/>
        <w:spacing w:after="210"/>
        <w:ind/>
        <w:rPr/>
      </w:pPr>
      <w:r>
        <w:rPr>
          <w:b/>
        </w:rPr>
        <w:t xml:space="preserve">Préparé par :</w:t>
      </w:r>
      <w:r>
        <w:rPr>
          <w:rFonts w:ascii="Georgia" w:hAnsi="Georgia" w:eastAsia="Georgia" w:cs="Georgia"/>
        </w:rPr>
        <w:t xml:space="preserve"> Direction Générale</w:t>
      </w:r>
      <w:r>
        <w:br/>
      </w:r>
      <w:r>
        <w:rPr>
          <w:b/>
        </w:rPr>
        <w:t xml:space="preserve">Date :</w:t>
      </w:r>
      <w:r>
        <w:rPr>
          <w:rFonts w:ascii="Georgia" w:hAnsi="Georgia" w:eastAsia="Georgia" w:cs="Georgia"/>
        </w:rPr>
        <w:t xml:space="preserve"> Février 2026</w:t>
      </w:r>
      <w:r>
        <w:br/>
      </w:r>
      <w:r>
        <w:rPr>
          <w:b/>
        </w:rPr>
        <w:t xml:space="preserve">Confidentialité :</w:t>
      </w:r>
      <w:r>
        <w:t xml:space="preserve"> Interne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2" w:name="executive_summary"/>
      <w:r>
        <w:rPr>
          <w:b/>
          <w:sz w:val="42"/>
        </w:rPr>
        <w:t xml:space="preserve">Executive Summary</w:t>
      </w:r>
      <w:bookmarkEnd w:id="2"/>
      <w:r/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ELGOTECH Industries opère dans le secteur de la mécanique de précision avec un positionnement de</w:t>
      </w:r>
      <w:r>
        <w:rPr>
          <w:rFonts w:ascii="Georgia" w:hAnsi="Georgia" w:eastAsia="Georgia" w:cs="Georgia"/>
        </w:rPr>
        <w:t xml:space="preserve"> sous-traitant spécialisé pour les secteurs aérospatiale, automobile et médical. Le présent rapport synthétise l'analyse stratégique 2026-2030 et définit les axes de développement prioritaires face à un marché en croissance mais de plus en plus compétitif.</w:t>
      </w:r>
      <w:r/>
    </w:p>
    <w:p>
      <w:pPr>
        <w:pBdr/>
        <w:spacing w:after="210"/>
        <w:ind/>
        <w:rPr/>
      </w:pPr>
      <w:r>
        <w:rPr>
          <w:b/>
        </w:rPr>
        <w:t xml:space="preserve">Objectif 2030 :</w:t>
      </w:r>
      <w:r>
        <w:rPr>
          <w:rFonts w:ascii="Georgia" w:hAnsi="Georgia" w:eastAsia="Georgia" w:cs="Georgia"/>
        </w:rPr>
        <w:t xml:space="preserve"> Augmenter le chiffre d'affaires de 35% (cible : 18 M€) tout en améliorant la marge opérationnelle de 3 points.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3" w:name="bm_1_contexte_et_environnement_du_marché"/>
      <w:r>
        <w:rPr>
          <w:rFonts w:ascii="Georgia" w:hAnsi="Georgia" w:eastAsia="Georgia" w:cs="Georgia"/>
          <w:b/>
          <w:sz w:val="42"/>
        </w:rPr>
        <w:t xml:space="preserve">1. Contexte et Environnement du Marché</w:t>
      </w:r>
      <w:bookmarkEnd w:id="3"/>
      <w:r/>
      <w:r/>
    </w:p>
    <w:p>
      <w:pPr>
        <w:pBdr/>
        <w:spacing w:before="240" w:line="271" w:lineRule="auto"/>
        <w:ind/>
        <w:rPr/>
      </w:pPr>
      <w:r/>
      <w:bookmarkStart w:id="4" w:name="bm_1_1_dynamique_du_marché_global"/>
      <w:r>
        <w:rPr>
          <w:rFonts w:ascii="Georgia" w:hAnsi="Georgia" w:eastAsia="Georgia" w:cs="Georgia"/>
          <w:b/>
          <w:sz w:val="33"/>
        </w:rPr>
        <w:t xml:space="preserve">1.1 Dynamique du marché global</w:t>
      </w:r>
      <w:bookmarkEnd w:id="4"/>
      <w:r/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Le marché mondial de l'usinage de précision affiche une dynamique positive[1] :</w:t>
      </w:r>
      <w:r/>
    </w:p>
    <w:p>
      <w:pPr>
        <w:numPr>
          <w:ilvl w:val="0"/>
          <w:numId w:val="1"/>
        </w:numPr>
        <w:pBdr/>
        <w:spacing/>
        <w:ind/>
        <w:rPr/>
      </w:pPr>
      <w:r>
        <w:t xml:space="preserve">Taille actuelle (2026) : </w:t>
      </w:r>
      <w:r>
        <w:rPr>
          <w:b/>
        </w:rPr>
        <w:t xml:space="preserve">124,4 milliards USD</w:t>
      </w:r>
      <w:r/>
    </w:p>
    <w:p>
      <w:pPr>
        <w:numPr>
          <w:ilvl w:val="0"/>
          <w:numId w:val="1"/>
        </w:numPr>
        <w:pBdr/>
        <w:spacing/>
        <w:ind/>
        <w:rPr/>
      </w:pPr>
      <w:r>
        <w:t xml:space="preserve">Projection 2035 : </w:t>
      </w:r>
      <w:r>
        <w:rPr>
          <w:b/>
        </w:rPr>
        <w:t xml:space="preserve">244,6 milliards USD</w:t>
      </w:r>
      <w:r/>
    </w:p>
    <w:p>
      <w:pPr>
        <w:numPr>
          <w:ilvl w:val="0"/>
          <w:numId w:val="1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Taux de croissance annuel composé (TCAC) : </w:t>
      </w:r>
      <w:r>
        <w:rPr>
          <w:b/>
        </w:rPr>
        <w:t xml:space="preserve">7,8%</w:t>
      </w:r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Le marché européen de la mécanique de précision représente environ </w:t>
      </w:r>
      <w:r>
        <w:rPr>
          <w:b/>
        </w:rPr>
        <w:t xml:space="preserve">30 milliards d'euros</w:t>
      </w:r>
      <w:r>
        <w:rPr>
          <w:rFonts w:ascii="Georgia" w:hAnsi="Georgia" w:eastAsia="Georgia" w:cs="Georgia"/>
        </w:rPr>
        <w:t xml:space="preserve"> de chiffre d'affaires annuel, avec une reprise observée en France[2].</w:t>
      </w:r>
      <w:r/>
    </w:p>
    <w:p>
      <w:pPr>
        <w:pBdr/>
        <w:spacing w:before="240" w:line="271" w:lineRule="auto"/>
        <w:ind/>
        <w:rPr/>
      </w:pPr>
      <w:r/>
      <w:bookmarkStart w:id="5" w:name="bm_1_2_tendances_technologiques_clés"/>
      <w:r>
        <w:rPr>
          <w:rFonts w:ascii="Georgia" w:hAnsi="Georgia" w:eastAsia="Georgia" w:cs="Georgia"/>
          <w:b/>
          <w:sz w:val="33"/>
        </w:rPr>
        <w:t xml:space="preserve">1.2 Tendances technologiques clés</w:t>
      </w:r>
      <w:bookmarkEnd w:id="5"/>
      <w:r/>
      <w:r/>
    </w:p>
    <w:p>
      <w:pPr>
        <w:pBdr/>
        <w:spacing w:after="210"/>
        <w:ind/>
        <w:rPr/>
      </w:pPr>
      <w:r>
        <w:rPr>
          <w:b/>
        </w:rPr>
        <w:t xml:space="preserve">Automatisation et IA</w:t>
      </w:r>
      <w:r>
        <w:t xml:space="preserve">[3]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Intégration croissante de l'IA pour l'optimisation des processus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Gain de productivité estimé : 15-20%</w:t>
      </w:r>
      <w:r/>
    </w:p>
    <w:p>
      <w:pPr>
        <w:numPr>
          <w:ilvl w:val="0"/>
          <w:numId w:val="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Usinage CNC 5 axes : standard émergent offrant flexibilité et précision accrues</w:t>
      </w:r>
      <w:r/>
    </w:p>
    <w:p>
      <w:pPr>
        <w:pBdr/>
        <w:spacing w:after="210"/>
        <w:ind/>
        <w:rPr/>
      </w:pPr>
      <w:r>
        <w:rPr>
          <w:b/>
        </w:rPr>
        <w:t xml:space="preserve">Traçabilité et conformité</w:t>
      </w:r>
      <w:r>
        <w:t xml:space="preserve">[4]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Exigences croissantes en traçabilité documentée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Métrologie en temps réel : de plus en plus requise</w:t>
      </w:r>
      <w:r/>
    </w:p>
    <w:p>
      <w:pPr>
        <w:numPr>
          <w:ilvl w:val="0"/>
          <w:numId w:val="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Certifications ISO 9001, AS9100 (aérospatiale) : critères de qualification obligatoires</w:t>
      </w:r>
      <w:r/>
    </w:p>
    <w:p>
      <w:pPr>
        <w:pBdr/>
        <w:spacing w:after="210"/>
        <w:ind/>
        <w:rPr/>
      </w:pPr>
      <w:r>
        <w:rPr>
          <w:b/>
        </w:rPr>
        <w:t xml:space="preserve">Fabrication additive</w:t>
      </w:r>
      <w:r>
        <w:t xml:space="preserve">[5]</w:t>
      </w:r>
      <w:r/>
    </w:p>
    <w:p>
      <w:pPr>
        <w:numPr>
          <w:ilvl w:val="0"/>
          <w:numId w:val="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Impression 3D complément à l'usinage traditionnel, non substitution</w:t>
      </w:r>
      <w:r/>
    </w:p>
    <w:p>
      <w:pPr>
        <w:numPr>
          <w:ilvl w:val="0"/>
          <w:numId w:val="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Applications principalement pour prototypage et petites séries complexes</w:t>
      </w:r>
      <w:r/>
    </w:p>
    <w:p>
      <w:pPr>
        <w:numPr>
          <w:ilvl w:val="0"/>
          <w:numId w:val="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Opportunités : réduction des délais de développement</w:t>
      </w:r>
      <w:r/>
    </w:p>
    <w:p>
      <w:pPr>
        <w:pBdr/>
        <w:spacing w:after="210"/>
        <w:ind/>
        <w:rPr/>
      </w:pPr>
      <w:r>
        <w:rPr>
          <w:b/>
        </w:rPr>
        <w:t xml:space="preserve">Industrie 4.0 et digitalisation</w:t>
      </w:r>
      <w:r/>
    </w:p>
    <w:p>
      <w:pPr>
        <w:numPr>
          <w:ilvl w:val="0"/>
          <w:numId w:val="5"/>
        </w:numPr>
        <w:pBdr/>
        <w:spacing/>
        <w:ind/>
        <w:rPr/>
      </w:pPr>
      <w:r>
        <w:t xml:space="preserve">Transition vers usines intelligentes</w:t>
      </w:r>
      <w:r/>
    </w:p>
    <w:p>
      <w:pPr>
        <w:numPr>
          <w:ilvl w:val="0"/>
          <w:numId w:val="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Nécessité d'intégration ERP métier</w:t>
      </w:r>
      <w:r/>
    </w:p>
    <w:p>
      <w:pPr>
        <w:numPr>
          <w:ilvl w:val="0"/>
          <w:numId w:val="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Données de production exploitées pour maintenance prédictive</w:t>
      </w:r>
      <w:r/>
    </w:p>
    <w:p>
      <w:pPr>
        <w:pBdr/>
        <w:spacing w:before="240" w:line="271" w:lineRule="auto"/>
        <w:ind/>
        <w:rPr/>
      </w:pPr>
      <w:r/>
      <w:bookmarkStart w:id="6" w:name="bm_1_3_mutations_géopolitiques_et_d25e80"/>
      <w:r>
        <w:rPr>
          <w:rFonts w:ascii="Georgia" w:hAnsi="Georgia" w:eastAsia="Georgia" w:cs="Georgia"/>
          <w:b/>
          <w:sz w:val="33"/>
        </w:rPr>
        <w:t xml:space="preserve">1.3 Mutations géopolitiques et économiques</w:t>
      </w:r>
      <w:bookmarkEnd w:id="6"/>
      <w:r/>
      <w:r/>
    </w:p>
    <w:p>
      <w:pPr>
        <w:pBdr/>
        <w:spacing w:after="210"/>
        <w:ind/>
        <w:rPr/>
      </w:pPr>
      <w:r>
        <w:rPr>
          <w:b/>
        </w:rPr>
        <w:t xml:space="preserve">Relocalisation européenne</w:t>
      </w:r>
      <w:r>
        <w:t xml:space="preserve">[6]</w:t>
      </w:r>
      <w:r/>
    </w:p>
    <w:p>
      <w:pPr>
        <w:numPr>
          <w:ilvl w:val="0"/>
          <w:numId w:val="6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Chaînes de valeur en reconfigurations : défense, énergie, santé</w:t>
      </w:r>
      <w:r/>
    </w:p>
    <w:p>
      <w:pPr>
        <w:numPr>
          <w:ilvl w:val="0"/>
          <w:numId w:val="6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Avantage pour sous-traitants européens de proximité</w:t>
      </w:r>
      <w:r/>
    </w:p>
    <w:p>
      <w:pPr>
        <w:numPr>
          <w:ilvl w:val="0"/>
          <w:numId w:val="6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Demande croissante de spécialistes français/européens</w:t>
      </w:r>
      <w:r/>
    </w:p>
    <w:p>
      <w:pPr>
        <w:pBdr/>
        <w:spacing w:after="210"/>
        <w:ind/>
        <w:rPr/>
      </w:pPr>
      <w:r>
        <w:rPr>
          <w:b/>
        </w:rPr>
        <w:t xml:space="preserve">Volatilité énergétique</w:t>
      </w:r>
      <w:r/>
    </w:p>
    <w:p>
      <w:pPr>
        <w:numPr>
          <w:ilvl w:val="0"/>
          <w:numId w:val="7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Coûts énergétiques demeurent imprévisibles</w:t>
      </w:r>
      <w:r/>
    </w:p>
    <w:p>
      <w:pPr>
        <w:numPr>
          <w:ilvl w:val="0"/>
          <w:numId w:val="7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Nécessité de maîtrise énergétique comme critère de compétitivité</w:t>
      </w:r>
      <w:r/>
    </w:p>
    <w:p>
      <w:pPr>
        <w:numPr>
          <w:ilvl w:val="0"/>
          <w:numId w:val="7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Investissements en efficacité énergétique revalorisés</w:t>
      </w:r>
      <w:r/>
    </w:p>
    <w:p>
      <w:pPr>
        <w:pBdr/>
        <w:spacing w:after="210"/>
        <w:ind/>
        <w:rPr/>
      </w:pPr>
      <w:r>
        <w:rPr>
          <w:b/>
        </w:rPr>
        <w:t xml:space="preserve">Consolidation du secteur</w:t>
      </w:r>
      <w:r/>
    </w:p>
    <w:p>
      <w:pPr>
        <w:numPr>
          <w:ilvl w:val="0"/>
          <w:numId w:val="8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Nombreuses fusions-acquisitions observées</w:t>
      </w:r>
      <w:r/>
    </w:p>
    <w:p>
      <w:pPr>
        <w:numPr>
          <w:ilvl w:val="0"/>
          <w:numId w:val="8"/>
        </w:numPr>
        <w:pBdr/>
        <w:spacing/>
        <w:ind/>
        <w:rPr/>
      </w:pPr>
      <w:r>
        <w:t xml:space="preserve">Concentration progressive autour de grands groupes</w:t>
      </w:r>
      <w:r/>
    </w:p>
    <w:p>
      <w:pPr>
        <w:numPr>
          <w:ilvl w:val="0"/>
          <w:numId w:val="8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PME doivent affirmer leur différenciation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7" w:name="bm_2_analyse_interne"/>
      <w:r>
        <w:rPr>
          <w:b/>
          <w:sz w:val="42"/>
        </w:rPr>
        <w:t xml:space="preserve">2. Analyse Interne</w:t>
      </w:r>
      <w:bookmarkEnd w:id="7"/>
      <w:r/>
      <w:r/>
    </w:p>
    <w:p>
      <w:pPr>
        <w:pBdr/>
        <w:spacing w:before="240" w:line="271" w:lineRule="auto"/>
        <w:ind/>
        <w:rPr/>
      </w:pPr>
      <w:r/>
      <w:bookmarkStart w:id="8" w:name="bm_2_1_profil_actuel_de_precisitech"/>
      <w:r>
        <w:rPr>
          <w:b/>
          <w:sz w:val="33"/>
        </w:rPr>
        <w:t xml:space="preserve">2.1 Profil actuel de ELGOTECH</w:t>
      </w:r>
      <w:bookmarkEnd w:id="8"/>
      <w:r/>
      <w:r/>
    </w:p>
    <w:p>
      <w:pPr>
        <w:pBdr/>
        <w:spacing w:after="210"/>
        <w:ind/>
        <w:rPr/>
      </w:pPr>
      <w:r>
        <w:rPr>
          <w:b/>
        </w:rPr>
        <w:t xml:space="preserve">Données générales</w:t>
      </w:r>
      <w:r/>
    </w:p>
    <w:p>
      <w:pPr>
        <w:numPr>
          <w:ilvl w:val="0"/>
          <w:numId w:val="9"/>
        </w:numPr>
        <w:pBdr/>
        <w:spacing/>
        <w:ind/>
        <w:rPr/>
      </w:pPr>
      <w:r>
        <w:t xml:space="preserve">Chiffre d'affaires 2025 : </w:t>
      </w:r>
      <w:r>
        <w:rPr>
          <w:b/>
        </w:rPr>
        <w:t xml:space="preserve">13,4 M€</w:t>
      </w:r>
      <w:r/>
    </w:p>
    <w:p>
      <w:pPr>
        <w:numPr>
          <w:ilvl w:val="0"/>
          <w:numId w:val="9"/>
        </w:numPr>
        <w:pBdr/>
        <w:spacing/>
        <w:ind/>
        <w:rPr/>
      </w:pPr>
      <w:r>
        <w:t xml:space="preserve">Effectif : </w:t>
      </w:r>
      <w:r>
        <w:rPr>
          <w:b/>
        </w:rPr>
        <w:t xml:space="preserve">78 collaborateurs</w:t>
      </w:r>
      <w:r/>
    </w:p>
    <w:p>
      <w:pPr>
        <w:numPr>
          <w:ilvl w:val="0"/>
          <w:numId w:val="9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Localisation : Région Île-de-France</w:t>
      </w:r>
      <w:r/>
    </w:p>
    <w:p>
      <w:pPr>
        <w:numPr>
          <w:ilvl w:val="0"/>
          <w:numId w:val="9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Secteurs clients : Aérospatiale (45%), Automobile (35%), Médical (20%)</w:t>
      </w:r>
      <w:r/>
    </w:p>
    <w:p>
      <w:pPr>
        <w:numPr>
          <w:ilvl w:val="0"/>
          <w:numId w:val="9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Taux de capacité utilisée : 82%</w:t>
      </w:r>
      <w:r/>
    </w:p>
    <w:p>
      <w:pPr>
        <w:pBdr/>
        <w:spacing w:after="210"/>
        <w:ind/>
        <w:rPr/>
      </w:pPr>
      <w:r>
        <w:rPr>
          <w:b/>
        </w:rPr>
        <w:t xml:space="preserve">Parc machine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12 machines CNC 3-4 axes (2014-2020)</w:t>
      </w:r>
      <w:r/>
    </w:p>
    <w:p>
      <w:pPr>
        <w:numPr>
          <w:ilvl w:val="0"/>
          <w:numId w:val="10"/>
        </w:numPr>
        <w:pBdr/>
        <w:spacing/>
        <w:ind/>
        <w:rPr/>
      </w:pPr>
      <w:r>
        <w:t xml:space="preserve">3 machines CNC 5 axes (2023-2024)</w:t>
      </w:r>
      <w:r/>
    </w:p>
    <w:p>
      <w:pPr>
        <w:numPr>
          <w:ilvl w:val="0"/>
          <w:numId w:val="10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1 centre de métrologie laser (2022)</w:t>
      </w:r>
      <w:r/>
    </w:p>
    <w:p>
      <w:pPr>
        <w:numPr>
          <w:ilvl w:val="0"/>
          <w:numId w:val="10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Délai d'investissement suivant : 2027-2028</w:t>
      </w:r>
      <w:r/>
    </w:p>
    <w:p>
      <w:pPr>
        <w:pBdr/>
        <w:spacing w:after="210"/>
        <w:ind/>
        <w:rPr/>
      </w:pPr>
      <w:r>
        <w:rPr>
          <w:b/>
        </w:rPr>
        <w:t xml:space="preserve">Forces identifiées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Expertise reconnue en tolérances extrêmes (±0,01mm)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Portefeuille client diversifié et stable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Faible taux de défaut (~0,3%)</w:t>
      </w:r>
      <w:r/>
    </w:p>
    <w:p>
      <w:pPr>
        <w:numPr>
          <w:ilvl w:val="0"/>
          <w:numId w:val="11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Équipe commerciale proactive</w:t>
      </w:r>
      <w:r/>
    </w:p>
    <w:p>
      <w:pPr>
        <w:pBdr/>
        <w:spacing w:after="210"/>
        <w:ind/>
        <w:rPr/>
      </w:pPr>
      <w:r>
        <w:rPr>
          <w:b/>
        </w:rPr>
        <w:t xml:space="preserve">Faiblesses identifiées</w:t>
      </w:r>
      <w:r/>
    </w:p>
    <w:p>
      <w:pPr>
        <w:numPr>
          <w:ilvl w:val="0"/>
          <w:numId w:val="12"/>
        </w:numPr>
        <w:pBdr/>
        <w:spacing/>
        <w:ind/>
        <w:rPr/>
      </w:pPr>
      <w:r>
        <w:t xml:space="preserve">Infrastructure informatique vieillissante (ERP 2012)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Capacité d'automatisation limitée vs concurrents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Dépendance à compétences artisanales (régleurs expérimentés, moyenne d'âge 54 ans)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Absence de maintenance prédictive</w:t>
      </w:r>
      <w:r/>
    </w:p>
    <w:p>
      <w:pPr>
        <w:numPr>
          <w:ilvl w:val="0"/>
          <w:numId w:val="12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Données de production peu exploitées</w:t>
      </w:r>
      <w:r/>
    </w:p>
    <w:p>
      <w:pPr>
        <w:pBdr/>
        <w:spacing w:before="240" w:line="271" w:lineRule="auto"/>
        <w:ind/>
        <w:rPr/>
      </w:pPr>
      <w:r/>
      <w:bookmarkStart w:id="9" w:name="bm_2_2_performance_financière_2025"/>
      <w:r>
        <w:rPr>
          <w:rFonts w:ascii="Georgia" w:hAnsi="Georgia" w:eastAsia="Georgia" w:cs="Georgia"/>
          <w:b/>
          <w:sz w:val="33"/>
        </w:rPr>
        <w:t xml:space="preserve">2.2 Performance financière 2025</w:t>
      </w:r>
      <w:bookmarkEnd w:id="9"/>
      <w:r/>
      <w:r/>
    </w:p>
    <w:tbl>
      <w:tblPr>
        <w:tblStyle w:val="702"/>
        <w:jc w:val="center"/>
        <w:tblCellMar>
          <w:left w:w="160" w:type="dxa"/>
          <w:top w:w="80" w:type="dxa"/>
          <w:right w:w="160" w:type="dxa"/>
          <w:bottom w:w="80" w:type="dxa"/>
        </w:tblCellMar>
        <w:tblBorders/>
        <w:tblCellSpacing w:w="0" w:type="dxa"/>
        <w:tblLook w:val="04A0" w:firstRow="1" w:lastRow="0" w:firstColumn="1" w:lastColumn="0" w:noHBand="0" w:noVBand="1"/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Indicateur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Évolution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Chiffre d'affaires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Georgia" w:hAnsi="Georgia" w:eastAsia="Georgia" w:cs="Georgia"/>
              </w:rPr>
              <w:t xml:space="preserve">13,4 M€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Georgia" w:hAnsi="Georgia" w:eastAsia="Georgia" w:cs="Georgia"/>
              </w:rPr>
              <w:t xml:space="preserve">12,8 M€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+4,7%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Marge brute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28%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27%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+1 pt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Marge opérationnelle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8,2%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7,8%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+0,4 pt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Rentabilité nette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4,1%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3,9%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+0,2 pt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Délai de livraison (moyen)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24 jours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26 jours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-2 jours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Taux de défaut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0,31%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t xml:space="preserve">0,38%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Amélioré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ascii="Georgia" w:hAnsi="Georgia" w:eastAsia="Georgia" w:cs="Georgia"/>
        </w:rPr>
        <w:t xml:space="preserve">Table 1: Performance financière ELGOTECH 2024-2025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" o:spid="_x0000_s3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10" w:name="bm_3_stratégie_2026_2030"/>
      <w:r>
        <w:rPr>
          <w:rFonts w:ascii="Georgia" w:hAnsi="Georgia" w:eastAsia="Georgia" w:cs="Georgia"/>
          <w:b/>
          <w:sz w:val="42"/>
        </w:rPr>
        <w:t xml:space="preserve">3. Stratégie 2026-2030</w:t>
      </w:r>
      <w:bookmarkEnd w:id="10"/>
      <w:r/>
      <w:r/>
    </w:p>
    <w:p>
      <w:pPr>
        <w:pBdr/>
        <w:spacing w:before="240" w:line="271" w:lineRule="auto"/>
        <w:ind/>
        <w:rPr/>
      </w:pPr>
      <w:r/>
      <w:bookmarkStart w:id="11" w:name="bm_3_1_vision_et_positionnement"/>
      <w:r>
        <w:rPr>
          <w:b/>
          <w:sz w:val="33"/>
        </w:rPr>
        <w:t xml:space="preserve">3.1 Vision et positionnement</w:t>
      </w:r>
      <w:bookmarkEnd w:id="11"/>
      <w:r/>
      <w:r/>
    </w:p>
    <w:p>
      <w:pPr>
        <w:pBdr/>
        <w:spacing w:after="210"/>
        <w:ind/>
        <w:rPr/>
      </w:pPr>
      <w:r>
        <w:rPr>
          <w:b/>
        </w:rPr>
        <w:t xml:space="preserve">Vision :</w:t>
      </w:r>
      <w:r>
        <w:rPr>
          <w:rFonts w:ascii="Georgia" w:hAnsi="Georgia" w:eastAsia="Georgia" w:cs="Georgia"/>
        </w:rPr>
        <w:t xml:space="preserve"> Être le partenaire de référence pour les sous-traitants de précision exigeants en Europe, reconnu pour l'excellence technique et l'innovation responsable.</w:t>
      </w:r>
      <w:r/>
    </w:p>
    <w:p>
      <w:pPr>
        <w:pBdr/>
        <w:spacing w:after="210"/>
        <w:ind/>
        <w:rPr/>
      </w:pPr>
      <w:r>
        <w:rPr>
          <w:b/>
        </w:rPr>
        <w:t xml:space="preserve">Positionnement :</w:t>
      </w:r>
      <w:r>
        <w:rPr>
          <w:rFonts w:ascii="Georgia" w:hAnsi="Georgia" w:eastAsia="Georgia" w:cs="Georgia"/>
        </w:rPr>
        <w:t xml:space="preserve"> Leader de proximité en mécanique de précision, combinant expertise artisanale et technologies numériques avancées.</w:t>
      </w:r>
      <w:r/>
    </w:p>
    <w:p>
      <w:pPr>
        <w:pBdr/>
        <w:spacing w:before="240" w:line="271" w:lineRule="auto"/>
        <w:ind/>
        <w:rPr/>
      </w:pPr>
      <w:r/>
      <w:bookmarkStart w:id="12" w:name="bm_3_2_trois_axes_stratégiques_pr_e5d996"/>
      <w:r>
        <w:rPr>
          <w:rFonts w:ascii="Georgia" w:hAnsi="Georgia" w:eastAsia="Georgia" w:cs="Georgia"/>
          <w:b/>
          <w:sz w:val="33"/>
        </w:rPr>
        <w:t xml:space="preserve">3.2 Trois axes stratégiques prioritaires</w:t>
      </w:r>
      <w:bookmarkEnd w:id="12"/>
      <w:r/>
      <w:r/>
    </w:p>
    <w:p>
      <w:pPr>
        <w:pBdr/>
        <w:spacing w:before="240" w:line="271" w:lineRule="auto"/>
        <w:ind/>
        <w:rPr/>
      </w:pPr>
      <w:r/>
      <w:bookmarkStart w:id="13" w:name="axe_1_transformation_digitale_et_fde82b"/>
      <w:r>
        <w:rPr>
          <w:b/>
          <w:sz w:val="28"/>
        </w:rPr>
        <w:t xml:space="preserve">Axe 1 : Transformation Digitale et Automatisation</w:t>
      </w:r>
      <w:bookmarkEnd w:id="13"/>
      <w:r/>
      <w:r/>
    </w:p>
    <w:p>
      <w:pPr>
        <w:pBdr/>
        <w:spacing w:after="210"/>
        <w:ind/>
        <w:rPr/>
      </w:pPr>
      <w:r>
        <w:rPr>
          <w:b/>
        </w:rPr>
        <w:t xml:space="preserve">Objectif :</w:t>
      </w:r>
      <w:r>
        <w:rPr>
          <w:rFonts w:ascii="Georgia" w:hAnsi="Georgia" w:eastAsia="Georgia" w:cs="Georgia"/>
        </w:rPr>
        <w:t xml:space="preserve"> Augmenter productivité de 20% en 4 ans via automatisation intelligente.</w:t>
      </w:r>
      <w:r/>
    </w:p>
    <w:p>
      <w:pPr>
        <w:pBdr/>
        <w:spacing w:after="210"/>
        <w:ind/>
        <w:rPr/>
      </w:pPr>
      <w:r>
        <w:rPr>
          <w:b/>
        </w:rPr>
        <w:t xml:space="preserve">Actions</w:t>
      </w:r>
      <w:r/>
    </w:p>
    <w:p>
      <w:pPr>
        <w:numPr>
          <w:ilvl w:val="0"/>
          <w:numId w:val="13"/>
        </w:numPr>
        <w:pBdr/>
        <w:spacing w:after="210"/>
        <w:ind/>
        <w:rPr/>
      </w:pPr>
      <w:r>
        <w:rPr>
          <w:b/>
        </w:rPr>
        <w:t xml:space="preserve">Modernisation informatique</w:t>
      </w:r>
      <w:r>
        <w:rPr>
          <w:rFonts w:ascii="Georgia" w:hAnsi="Georgia" w:eastAsia="Georgia" w:cs="Georgia"/>
        </w:rPr>
        <w:t xml:space="preserve"> (2026-2027, investissement 480 k€)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Implémentation ERP métier (type Dassault, Infor, Aptean)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Intégration MES (Manufacturing Execution System)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Portail client pour suivi commandes temps réel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Réduction délai administratif -30%, visibilité production +100%</w:t>
      </w:r>
      <w:r/>
    </w:p>
    <w:p>
      <w:pPr>
        <w:numPr>
          <w:ilvl w:val="0"/>
          <w:numId w:val="13"/>
        </w:numPr>
        <w:pBdr/>
        <w:spacing w:after="210"/>
        <w:ind/>
        <w:rPr/>
      </w:pPr>
      <w:r>
        <w:rPr>
          <w:b/>
        </w:rPr>
        <w:t xml:space="preserve">Equipements CNC 5-6 axes</w:t>
      </w:r>
      <w:r>
        <w:rPr>
          <w:rFonts w:ascii="Georgia" w:hAnsi="Georgia" w:eastAsia="Georgia" w:cs="Georgia"/>
        </w:rPr>
        <w:t xml:space="preserve"> (2027-2028, investissement 1,2 M€)</w:t>
      </w:r>
      <w:r/>
    </w:p>
    <w:p>
      <w:pPr>
        <w:numPr>
          <w:ilvl w:val="1"/>
          <w:numId w:val="13"/>
        </w:numPr>
        <w:pBdr/>
        <w:spacing/>
        <w:ind/>
        <w:rPr/>
      </w:pPr>
      <w:r>
        <w:t xml:space="preserve">Acquisition 2 machines SPINNER 5-axes avec palettisation automatique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Robots de déchargement pièces (2028)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Capacité supplémentaire 25%, temps de cycle -15%</w:t>
      </w:r>
      <w:r/>
    </w:p>
    <w:p>
      <w:pPr>
        <w:numPr>
          <w:ilvl w:val="0"/>
          <w:numId w:val="13"/>
        </w:numPr>
        <w:pBdr/>
        <w:spacing w:after="210"/>
        <w:ind/>
        <w:rPr/>
      </w:pPr>
      <w:r>
        <w:rPr>
          <w:b/>
        </w:rPr>
        <w:t xml:space="preserve">Données et IA</w:t>
      </w:r>
      <w:r>
        <w:rPr>
          <w:rFonts w:ascii="Georgia" w:hAnsi="Georgia" w:eastAsia="Georgia" w:cs="Georgia"/>
        </w:rPr>
        <w:t xml:space="preserve"> (continu, investissement 60 k€/an)</w:t>
      </w:r>
      <w:r/>
    </w:p>
    <w:p>
      <w:pPr>
        <w:numPr>
          <w:ilvl w:val="1"/>
          <w:numId w:val="13"/>
        </w:numPr>
        <w:pBdr/>
        <w:spacing/>
        <w:ind/>
        <w:rPr/>
      </w:pPr>
      <w:r>
        <w:t xml:space="preserve">Capteurs IoT sur machines principales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Maintenance prédictive (algorithme IA pour usure outils)</w:t>
      </w:r>
      <w:r/>
    </w:p>
    <w:p>
      <w:pPr>
        <w:numPr>
          <w:ilvl w:val="1"/>
          <w:numId w:val="13"/>
        </w:numPr>
        <w:pBdr/>
        <w:spacing/>
        <w:ind/>
        <w:rPr/>
      </w:pPr>
      <w:r>
        <w:t xml:space="preserve">Optimisation cycles via machine learning</w:t>
      </w:r>
      <w:r/>
    </w:p>
    <w:p>
      <w:pPr>
        <w:numPr>
          <w:ilvl w:val="1"/>
          <w:numId w:val="13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Réduction arrêts impromptus -40%, OEE +8%</w:t>
      </w:r>
      <w:r/>
    </w:p>
    <w:p>
      <w:pPr>
        <w:pBdr/>
        <w:spacing w:before="240" w:line="271" w:lineRule="auto"/>
        <w:ind/>
        <w:rPr/>
      </w:pPr>
      <w:r/>
      <w:bookmarkStart w:id="14" w:name="axe_2_développement_commercial_et_5d5869"/>
      <w:r>
        <w:rPr>
          <w:rFonts w:ascii="Georgia" w:hAnsi="Georgia" w:eastAsia="Georgia" w:cs="Georgia"/>
          <w:b/>
          <w:sz w:val="28"/>
        </w:rPr>
        <w:t xml:space="preserve">Axe 2 : Développement Commercial et Différenciation</w:t>
      </w:r>
      <w:bookmarkEnd w:id="14"/>
      <w:r/>
      <w:r/>
    </w:p>
    <w:p>
      <w:pPr>
        <w:pBdr/>
        <w:spacing w:after="210"/>
        <w:ind/>
        <w:rPr/>
      </w:pPr>
      <w:r>
        <w:rPr>
          <w:b/>
        </w:rPr>
        <w:t xml:space="preserve">Objectif :</w:t>
      </w:r>
      <w:r>
        <w:rPr>
          <w:rFonts w:ascii="Georgia" w:hAnsi="Georgia" w:eastAsia="Georgia" w:cs="Georgia"/>
        </w:rPr>
        <w:t xml:space="preserve"> Croissance organique +8%/an, améliorer mix clients vers secteurs plus rémunérateurs.</w:t>
      </w:r>
      <w:r/>
    </w:p>
    <w:p>
      <w:pPr>
        <w:pBdr/>
        <w:spacing w:after="210"/>
        <w:ind/>
        <w:rPr/>
      </w:pPr>
      <w:r>
        <w:rPr>
          <w:b/>
        </w:rPr>
        <w:t xml:space="preserve">Actions</w:t>
      </w:r>
      <w:r/>
    </w:p>
    <w:p>
      <w:pPr>
        <w:numPr>
          <w:ilvl w:val="0"/>
          <w:numId w:val="14"/>
        </w:numPr>
        <w:pBdr/>
        <w:spacing w:after="210"/>
        <w:ind/>
        <w:rPr/>
      </w:pPr>
      <w:r>
        <w:rPr>
          <w:b/>
        </w:rPr>
        <w:t xml:space="preserve">Expansion secteur médical</w:t>
      </w:r>
      <w:r>
        <w:t xml:space="preserve"> (Cible 2030 : 35% du CA)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Certification ISO 13485 (dispositifs médicaux) en 2026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Investissement qualité dédié (75 k€)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Signature contrats-cadres avec 3-4 équipementiers majeurs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Contrats récurrents, marge +3-5 pts vs automobile</w:t>
      </w:r>
      <w:r/>
    </w:p>
    <w:p>
      <w:pPr>
        <w:numPr>
          <w:ilvl w:val="0"/>
          <w:numId w:val="14"/>
        </w:numPr>
        <w:pBdr/>
        <w:spacing w:after="210"/>
        <w:ind/>
        <w:rPr/>
      </w:pPr>
      <w:r>
        <w:rPr>
          <w:b/>
        </w:rPr>
        <w:t xml:space="preserve">Qualification secteur aéronautique approfondies</w:t>
      </w:r>
      <w:r>
        <w:t xml:space="preserve"> (Cible : contrats Tier-1)</w:t>
      </w:r>
      <w:r/>
    </w:p>
    <w:p>
      <w:pPr>
        <w:numPr>
          <w:ilvl w:val="1"/>
          <w:numId w:val="14"/>
        </w:numPr>
        <w:pBdr/>
        <w:spacing/>
        <w:ind/>
        <w:rPr/>
      </w:pPr>
      <w:r>
        <w:t xml:space="preserve">Renouvellement certification AS9100 en 2026</w:t>
      </w:r>
      <w:r/>
    </w:p>
    <w:p>
      <w:pPr>
        <w:numPr>
          <w:ilvl w:val="1"/>
          <w:numId w:val="14"/>
        </w:numPr>
        <w:pBdr/>
        <w:spacing/>
        <w:ind/>
        <w:rPr/>
      </w:pPr>
      <w:r>
        <w:t xml:space="preserve">Qualification chez Thales, Dassault, Safran (2026-2027)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Investissement traçabilité complète (120 k€)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Contrats de plus grande envergure, pérennité accrue</w:t>
      </w:r>
      <w:r/>
    </w:p>
    <w:p>
      <w:pPr>
        <w:numPr>
          <w:ilvl w:val="0"/>
          <w:numId w:val="14"/>
        </w:numPr>
        <w:pBdr/>
        <w:spacing w:after="210"/>
        <w:ind/>
        <w:rPr/>
      </w:pPr>
      <w:r>
        <w:rPr>
          <w:b/>
        </w:rPr>
        <w:t xml:space="preserve">Services à valeur ajoutée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Co-conception assistée CAO/FAO</w:t>
      </w:r>
      <w:r/>
    </w:p>
    <w:p>
      <w:pPr>
        <w:numPr>
          <w:ilvl w:val="1"/>
          <w:numId w:val="14"/>
        </w:numPr>
        <w:pBdr/>
        <w:spacing/>
        <w:ind/>
        <w:rPr/>
      </w:pPr>
      <w:r>
        <w:t xml:space="preserve">Packages logistiques (assemblage, colisage kitting)</w:t>
      </w:r>
      <w:r/>
    </w:p>
    <w:p>
      <w:pPr>
        <w:numPr>
          <w:ilvl w:val="1"/>
          <w:numId w:val="14"/>
        </w:numPr>
        <w:pBdr/>
        <w:spacing/>
        <w:ind/>
        <w:rPr/>
      </w:pPr>
      <w:r>
        <w:t xml:space="preserve">Contrats de sous-traitance long terme avec volumes garantis</w:t>
      </w:r>
      <w:r/>
    </w:p>
    <w:p>
      <w:pPr>
        <w:numPr>
          <w:ilvl w:val="1"/>
          <w:numId w:val="14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CA +15% en 2030, fidélisation clients</w:t>
      </w:r>
      <w:r/>
    </w:p>
    <w:p>
      <w:pPr>
        <w:pBdr/>
        <w:spacing w:before="240" w:line="271" w:lineRule="auto"/>
        <w:ind/>
        <w:rPr/>
      </w:pPr>
      <w:r/>
      <w:bookmarkStart w:id="15" w:name="axe_3_talent_et_développement_durable"/>
      <w:r>
        <w:rPr>
          <w:rFonts w:ascii="Georgia" w:hAnsi="Georgia" w:eastAsia="Georgia" w:cs="Georgia"/>
          <w:b/>
          <w:sz w:val="28"/>
        </w:rPr>
        <w:t xml:space="preserve">Axe 3 : Talent et Développement Durable</w:t>
      </w:r>
      <w:bookmarkEnd w:id="15"/>
      <w:r/>
      <w:r/>
    </w:p>
    <w:p>
      <w:pPr>
        <w:pBdr/>
        <w:spacing w:after="210"/>
        <w:ind/>
        <w:rPr/>
      </w:pPr>
      <w:r>
        <w:rPr>
          <w:b/>
        </w:rPr>
        <w:t xml:space="preserve">Objectif :</w:t>
      </w:r>
      <w:r>
        <w:rPr>
          <w:rFonts w:ascii="Georgia" w:hAnsi="Georgia" w:eastAsia="Georgia" w:cs="Georgia"/>
        </w:rPr>
        <w:t xml:space="preserve"> Sécuriser compétences, anticiper mutations technologiques, afficher responsabilité.</w:t>
      </w:r>
      <w:r/>
    </w:p>
    <w:p>
      <w:pPr>
        <w:pBdr/>
        <w:spacing w:after="210"/>
        <w:ind/>
        <w:rPr/>
      </w:pPr>
      <w:r>
        <w:rPr>
          <w:b/>
        </w:rPr>
        <w:t xml:space="preserve">Actions</w:t>
      </w:r>
      <w:r/>
    </w:p>
    <w:p>
      <w:pPr>
        <w:numPr>
          <w:ilvl w:val="0"/>
          <w:numId w:val="15"/>
        </w:numPr>
        <w:pBdr/>
        <w:spacing w:after="210"/>
        <w:ind/>
        <w:rPr/>
      </w:pPr>
      <w:r>
        <w:rPr>
          <w:b/>
        </w:rPr>
        <w:t xml:space="preserve">Gestion des talents</w:t>
      </w:r>
      <w:r/>
    </w:p>
    <w:p>
      <w:pPr>
        <w:numPr>
          <w:ilvl w:val="1"/>
          <w:numId w:val="15"/>
        </w:numPr>
        <w:pBdr/>
        <w:spacing/>
        <w:ind/>
        <w:rPr/>
      </w:pPr>
      <w:r>
        <w:t xml:space="preserve">Plan de formation en CNC 5-axes et IA (200 h/an par agent)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Création 2 postes juniors/apprentis par an (2026-2030)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Rémunération alignée sur marché (+3% annuel)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Investissement : 80 k€/an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Réduction turnover de 8% à &lt;3%, capital humain modernisé</w:t>
      </w:r>
      <w:r/>
    </w:p>
    <w:p>
      <w:pPr>
        <w:numPr>
          <w:ilvl w:val="0"/>
          <w:numId w:val="15"/>
        </w:numPr>
        <w:pBdr/>
        <w:spacing w:after="210"/>
        <w:ind/>
        <w:rPr/>
      </w:pPr>
      <w:r>
        <w:rPr>
          <w:b/>
        </w:rPr>
        <w:t xml:space="preserve">Efficacité énergétique et environnement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Audit énergétique 2026, cible -25% consommation 2030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Prise de parc machine : huiles biodégradables, récupération chaleur</w:t>
      </w:r>
      <w:r/>
    </w:p>
    <w:p>
      <w:pPr>
        <w:numPr>
          <w:ilvl w:val="1"/>
          <w:numId w:val="15"/>
        </w:numPr>
        <w:pBdr/>
        <w:spacing/>
        <w:ind/>
        <w:rPr/>
      </w:pPr>
      <w:r>
        <w:t xml:space="preserve">Certification ISO 14001 en 2027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Budget : 150 k€ d'investissements verts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Résultat attendu : Coûts énergétiques -18%, critère de sélection clients</w:t>
      </w:r>
      <w:r/>
    </w:p>
    <w:p>
      <w:pPr>
        <w:numPr>
          <w:ilvl w:val="0"/>
          <w:numId w:val="15"/>
        </w:numPr>
        <w:pBdr/>
        <w:spacing w:after="210"/>
        <w:ind/>
        <w:rPr/>
      </w:pPr>
      <w:r>
        <w:rPr>
          <w:b/>
        </w:rPr>
        <w:t xml:space="preserve">Bien-être et culture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Plan bien-être (ergonomie ateliers, sécurité +)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Gestion prévisionnelle des emplois 2026-2035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Communication interne stratégique (lean management)</w:t>
      </w:r>
      <w:r/>
    </w:p>
    <w:p>
      <w:pPr>
        <w:numPr>
          <w:ilvl w:val="1"/>
          <w:numId w:val="15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Budget : 60 k€/an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16" w:name="bm_4_projections_financières_2026_2030"/>
      <w:r>
        <w:rPr>
          <w:rFonts w:ascii="Georgia" w:hAnsi="Georgia" w:eastAsia="Georgia" w:cs="Georgia"/>
          <w:b/>
          <w:sz w:val="42"/>
        </w:rPr>
        <w:t xml:space="preserve">4. Projections Financières 2026-2030</w:t>
      </w:r>
      <w:bookmarkEnd w:id="16"/>
      <w:r/>
      <w:r/>
    </w:p>
    <w:tbl>
      <w:tblPr>
        <w:tblStyle w:val="702"/>
        <w:jc w:val="center"/>
        <w:tblCellMar>
          <w:left w:w="160" w:type="dxa"/>
          <w:top w:w="80" w:type="dxa"/>
          <w:right w:w="160" w:type="dxa"/>
          <w:bottom w:w="80" w:type="dxa"/>
        </w:tblCellMar>
        <w:tblBorders/>
        <w:tblCellSpacing w:w="0" w:type="dxa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8"/>
        <w:gridCol w:w="1448"/>
        <w:gridCol w:w="1448"/>
      </w:tblGrid>
      <w:tr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Année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CA (M€)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Marge Op.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EBE (M€)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Invest. (M€)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EBE/Inv.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2026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14,5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9,5%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1,38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0,72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1,9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2027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15,8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10,2%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1,61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1,35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1,2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2028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17,2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11,0%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1,89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0,85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2,2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2029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18,0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11,5%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2,07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0,25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8,3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2030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18,5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11,8%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2,18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0,20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10,9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ascii="Georgia" w:hAnsi="Georgia" w:eastAsia="Georgia" w:cs="Georgia"/>
        </w:rPr>
        <w:t xml:space="preserve">Table 2: Projections financières 2026-2030</w:t>
      </w:r>
      <w:r/>
    </w:p>
    <w:p>
      <w:pPr>
        <w:pBdr/>
        <w:spacing w:after="210"/>
        <w:ind/>
        <w:rPr/>
      </w:pPr>
      <w:r>
        <w:rPr>
          <w:b/>
        </w:rPr>
        <w:t xml:space="preserve">Hypothèses sous-jacentes :</w:t>
      </w:r>
      <w:r/>
    </w:p>
    <w:p>
      <w:pPr>
        <w:numPr>
          <w:ilvl w:val="0"/>
          <w:numId w:val="16"/>
        </w:numPr>
        <w:pBdr/>
        <w:spacing/>
        <w:ind/>
        <w:rPr/>
      </w:pPr>
      <w:r>
        <w:t xml:space="preserve">Croissance organique +8%/an</w:t>
      </w:r>
      <w:r/>
    </w:p>
    <w:p>
      <w:pPr>
        <w:numPr>
          <w:ilvl w:val="0"/>
          <w:numId w:val="16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Inflations : +2% annuel (salaires, matière)</w:t>
      </w:r>
      <w:r/>
    </w:p>
    <w:p>
      <w:pPr>
        <w:numPr>
          <w:ilvl w:val="0"/>
          <w:numId w:val="16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Amélioration productivité : +1,5% annuel</w:t>
      </w:r>
      <w:r/>
    </w:p>
    <w:p>
      <w:pPr>
        <w:numPr>
          <w:ilvl w:val="0"/>
          <w:numId w:val="16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Taux d'impôt : 25%</w:t>
      </w:r>
      <w:r/>
    </w:p>
    <w:p>
      <w:pPr>
        <w:pBdr/>
        <w:spacing w:after="210"/>
        <w:ind/>
        <w:rPr/>
      </w:pPr>
      <w:r>
        <w:rPr>
          <w:b/>
        </w:rPr>
        <w:t xml:space="preserve">Sensibilités clés :</w:t>
      </w:r>
      <w:r/>
    </w:p>
    <w:p>
      <w:pPr>
        <w:numPr>
          <w:ilvl w:val="0"/>
          <w:numId w:val="17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Ralentissement aérospatiale : -CA 3-5%</w:t>
      </w:r>
      <w:r/>
    </w:p>
    <w:p>
      <w:pPr>
        <w:numPr>
          <w:ilvl w:val="0"/>
          <w:numId w:val="17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Crise énergétique : marge -1 à 2 points</w:t>
      </w:r>
      <w:r/>
    </w:p>
    <w:p>
      <w:pPr>
        <w:numPr>
          <w:ilvl w:val="0"/>
          <w:numId w:val="17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Succès transformation digitale : marge +2-3 points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17" w:name="bm_5_risques_et_plan_de_mitigation"/>
      <w:r>
        <w:rPr>
          <w:b/>
          <w:sz w:val="42"/>
        </w:rPr>
        <w:t xml:space="preserve">5. Risques et Plan de Mitigation</w:t>
      </w:r>
      <w:bookmarkEnd w:id="17"/>
      <w:r/>
      <w:r/>
    </w:p>
    <w:tbl>
      <w:tblPr>
        <w:tblStyle w:val="702"/>
        <w:jc w:val="center"/>
        <w:tblCellMar>
          <w:left w:w="160" w:type="dxa"/>
          <w:top w:w="80" w:type="dxa"/>
          <w:right w:w="160" w:type="dxa"/>
          <w:bottom w:w="80" w:type="dxa"/>
        </w:tblCellMar>
        <w:tblBorders/>
        <w:tblCellSpacing w:w="0" w:type="dxa"/>
        <w:tblLook w:val="04A0" w:firstRow="1" w:lastRow="0" w:firstColumn="1" w:lastColumn="0" w:noHBand="0" w:noVBand="1"/>
      </w:tblPr>
      <w:tblGrid>
        <w:gridCol w:w="2173"/>
        <w:gridCol w:w="2173"/>
        <w:gridCol w:w="2173"/>
        <w:gridCol w:w="2173"/>
      </w:tblGrid>
      <w:tr>
        <w:trPr>
          <w:cantSplit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Risque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Probabilité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Mitigation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Impact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Concurrence asiatique accrue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Élevée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Différenciation qualité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Moyen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Roulement générationnel RH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Élevée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Formation précoce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Georgia" w:hAnsi="Georgia" w:eastAsia="Georgia" w:cs="Georgia"/>
              </w:rPr>
              <w:t xml:space="preserve">Élevé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Volatilité énergétique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Élevée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Efficacité énergétique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Moyen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Retard transformation digitale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Moyen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Pilotage strict projets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Moyen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Georgia" w:hAnsi="Georgia" w:eastAsia="Georgia" w:cs="Georgia"/>
              </w:rPr>
              <w:t xml:space="preserve">Ralentissement aérospatiale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Moyen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Diversification secteurs</w:t>
            </w:r>
            <w:r/>
          </w:p>
        </w:tc>
        <w:tc>
          <w:tcPr>
            <w:tcBorders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Moyen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Investissements IT/machine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Faible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Financements, CAF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Faible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rFonts w:ascii="Georgia" w:hAnsi="Georgia" w:eastAsia="Georgia" w:cs="Georgia"/>
        </w:rPr>
        <w:t xml:space="preserve">Table 3: Analyse des risques stratégiques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18" w:name="bm_6_gouvernance_et_pilotage"/>
      <w:r>
        <w:rPr>
          <w:b/>
          <w:sz w:val="42"/>
        </w:rPr>
        <w:t xml:space="preserve">6. Gouvernance et Pilotage</w:t>
      </w:r>
      <w:bookmarkEnd w:id="18"/>
      <w:r/>
      <w:r/>
    </w:p>
    <w:p>
      <w:pPr>
        <w:pBdr/>
        <w:spacing w:after="210"/>
        <w:ind/>
        <w:rPr/>
      </w:pPr>
      <w:r>
        <w:rPr>
          <w:b/>
        </w:rPr>
        <w:t xml:space="preserve">Comité stratégique :</w:t>
      </w:r>
      <w:r>
        <w:rPr>
          <w:rFonts w:ascii="Georgia" w:hAnsi="Georgia" w:eastAsia="Georgia" w:cs="Georgia"/>
        </w:rPr>
        <w:t xml:space="preserve"> Direction générale + 2 responsables métier (mensuel)</w:t>
      </w:r>
      <w:r/>
    </w:p>
    <w:p>
      <w:pPr>
        <w:pBdr/>
        <w:spacing w:after="210"/>
        <w:ind/>
        <w:rPr/>
      </w:pPr>
      <w:r>
        <w:rPr>
          <w:b/>
        </w:rPr>
        <w:t xml:space="preserve">Tableaux de bord mensuels :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KPI financiers : CA, marge, CAF</w:t>
      </w:r>
      <w:r/>
    </w:p>
    <w:p>
      <w:pPr>
        <w:numPr>
          <w:ilvl w:val="0"/>
          <w:numId w:val="18"/>
        </w:numPr>
        <w:pBdr/>
        <w:spacing/>
        <w:ind/>
        <w:rPr/>
      </w:pPr>
      <w:r>
        <w:rPr>
          <w:rFonts w:ascii="Georgia" w:hAnsi="Georgia" w:eastAsia="Georgia" w:cs="Georgia"/>
        </w:rPr>
        <w:t xml:space="preserve">KPI opérationnels : OEE, délai livraison, qualité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KPI RH : turnover, taux formation</w:t>
      </w:r>
      <w:r/>
    </w:p>
    <w:p>
      <w:pPr>
        <w:numPr>
          <w:ilvl w:val="0"/>
          <w:numId w:val="18"/>
        </w:numPr>
        <w:pBdr/>
        <w:spacing/>
        <w:ind/>
        <w:rPr/>
      </w:pPr>
      <w:r>
        <w:t xml:space="preserve">KPI clients : satisfaction, portefeuille</w:t>
      </w:r>
      <w:r/>
    </w:p>
    <w:p>
      <w:pPr>
        <w:pBdr/>
        <w:spacing w:after="210"/>
        <w:ind/>
        <w:rPr/>
      </w:pPr>
      <w:r>
        <w:rPr>
          <w:b/>
        </w:rPr>
        <w:t xml:space="preserve">Révisions stratégiques annuelles</w:t>
      </w:r>
      <w:r>
        <w:rPr>
          <w:rFonts w:ascii="Georgia" w:hAnsi="Georgia" w:eastAsia="Georgia" w:cs="Georgia"/>
        </w:rPr>
        <w:t xml:space="preserve"> : Mise à jour trajectoire basée sur réalisations et évolutions de marché.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" o:spid="_x0000_s7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19" w:name="bm_7_conclusion"/>
      <w:r>
        <w:rPr>
          <w:b/>
          <w:sz w:val="42"/>
        </w:rPr>
        <w:t xml:space="preserve">7. Conclusion</w:t>
      </w:r>
      <w:bookmarkEnd w:id="19"/>
      <w:r/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La stratégie 2026-2030 de ELGOTECH Industries repose sur trois leviers complémentaires : modernisation technol</w:t>
      </w:r>
      <w:r>
        <w:rPr>
          <w:rFonts w:ascii="Georgia" w:hAnsi="Georgia" w:eastAsia="Georgia" w:cs="Georgia"/>
        </w:rPr>
        <w:t xml:space="preserve">ogique, expansion commerciale ciblée, et responsabilité RH-environnementale. Cette approche équilibrée positionne l'entreprise pour capturer les opportunités de croissance du marché européen tout en renforçant sa résilience face aux mutations sectorielles.</w:t>
      </w:r>
      <w:r/>
    </w:p>
    <w:p>
      <w:pPr>
        <w:pBdr/>
        <w:spacing w:after="210"/>
        <w:ind/>
        <w:rPr/>
      </w:pPr>
      <w:r>
        <w:rPr>
          <w:b/>
        </w:rPr>
        <w:t xml:space="preserve">Chiffres clés 2030 :</w:t>
      </w:r>
      <w:r>
        <w:rPr>
          <w:rFonts w:ascii="Georgia" w:hAnsi="Georgia" w:eastAsia="Georgia" w:cs="Georgia"/>
        </w:rPr>
        <w:t xml:space="preserve"> CA cible 18,5 M€, marge opérationnelle 11,8%, effectif ~95 personnes, position de leader régional stabilisée.</w:t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8150" cy="635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181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8" o:spid="_x0000_s8" o:spt="1" type="#_x0000_t1" style="width:434.50pt;height:0.05pt;mso-wrap-distance-left:0.00pt;mso-wrap-distance-top:0.00pt;mso-wrap-distance-right:0.00pt;mso-wrap-distance-bottom:0.00pt;visibility:visible;" fillcolor="#FFFFFF" strokecolor="#000000"/>
            </w:pict>
          </mc:Fallback>
        </mc:AlternateContent>
      </w:r>
      <w:r/>
    </w:p>
    <w:p>
      <w:pPr>
        <w:pBdr/>
        <w:spacing w:before="240" w:line="271" w:lineRule="auto"/>
        <w:ind/>
        <w:rPr/>
      </w:pPr>
      <w:r/>
      <w:bookmarkStart w:id="20" w:name="références"/>
      <w:r>
        <w:rPr>
          <w:rFonts w:ascii="Georgia" w:hAnsi="Georgia" w:eastAsia="Georgia" w:cs="Georgia"/>
          <w:b/>
          <w:sz w:val="42"/>
        </w:rPr>
        <w:t xml:space="preserve">Références</w:t>
      </w:r>
      <w:bookmarkEnd w:id="20"/>
      <w:r/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[1] Market Research Insights. (2025). Market Size and Forecast for Precision Machining 2026-2035. Consulté février 2026.</w:t>
      </w:r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[2] Machines Production. (2026). Vers une reprise de la mécanique française en 2026. Machines Production.</w:t>
      </w:r>
      <w:r/>
    </w:p>
    <w:p>
      <w:pPr>
        <w:pBdr/>
        <w:spacing w:after="210"/>
        <w:ind/>
        <w:rPr/>
      </w:pPr>
      <w:r>
        <w:t xml:space="preserve">[3] Business Research Insights. (2025). Market Report: Precision Machining 2026-2035. Drivers and Emerging Trends.</w:t>
      </w:r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[4] Machines Industrielles. (2026). Les défis et opportunités de la mécanique de précision dans l'industrie 4.0.</w:t>
      </w:r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[5] Professional Magazine. (2024). 5 tendances d'avenir dans la mécanique de précision.</w:t>
      </w:r>
      <w:r/>
    </w:p>
    <w:p>
      <w:pPr>
        <w:pBdr/>
        <w:spacing w:after="210"/>
        <w:ind/>
        <w:rPr/>
      </w:pPr>
      <w:r>
        <w:rPr>
          <w:rFonts w:ascii="Georgia" w:hAnsi="Georgia" w:eastAsia="Georgia" w:cs="Georgia"/>
        </w:rPr>
        <w:t xml:space="preserve">[6] Scale2Sell. (2025). Céder son entreprise de mécanique de précision en 2026 : Leviers de valorisation et stratégie.</w:t>
      </w:r>
      <w:r/>
    </w:p>
    <w:sectPr>
      <w:footnotePr/>
      <w:endnotePr/>
      <w:type w:val="nextPage"/>
      <w:pgSz w:h="15840" w:orient="portrait" w:w="12240"/>
      <w:pgMar w:top="1415" w:right="1775" w:bottom="1415" w:left="1775" w:header="72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Consolas">
    <w:panose1 w:val="020B0606020202030204"/>
  </w:font>
  <w:font w:name="Arial">
    <w:panose1 w:val="020B0604020202020204"/>
  </w:font>
  <w:font w:name="Georgia">
    <w:panose1 w:val="0202050206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Theme="minorHAnsi" w:eastAsiaTheme="minorHAnsi" w:cstheme="minorBidi"/>
        <w:sz w:val="21"/>
        <w:szCs w:val="22"/>
        <w:lang w:val="fr-FR" w:eastAsia="en-US" w:bidi="ar-SA"/>
      </w:rPr>
    </w:rPrDefault>
    <w:pPrDefault>
      <w:pPr>
        <w:pBdr/>
        <w:spacing w:after="120" w:afterAutospacing="0" w:before="0" w:beforeAutospacing="0" w:line="240" w:lineRule="atLeast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99"/>
    <w:next w:val="69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99"/>
    <w:next w:val="69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9"/>
    <w:next w:val="69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9"/>
    <w:next w:val="69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9"/>
    <w:next w:val="69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9"/>
    <w:next w:val="69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9"/>
    <w:next w:val="69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9"/>
    <w:next w:val="69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9"/>
    <w:next w:val="69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9"/>
    <w:next w:val="69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9"/>
    <w:next w:val="69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9"/>
    <w:next w:val="69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9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9"/>
    <w:next w:val="69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9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9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99"/>
    <w:next w:val="6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9"/>
    <w:next w:val="699"/>
    <w:uiPriority w:val="39"/>
    <w:unhideWhenUsed/>
    <w:pPr>
      <w:pBdr/>
      <w:spacing w:after="100"/>
      <w:ind/>
    </w:pPr>
  </w:style>
  <w:style w:type="paragraph" w:styleId="190">
    <w:name w:val="toc 2"/>
    <w:basedOn w:val="699"/>
    <w:next w:val="699"/>
    <w:uiPriority w:val="39"/>
    <w:unhideWhenUsed/>
    <w:pPr>
      <w:pBdr/>
      <w:spacing w:after="100"/>
      <w:ind w:left="220"/>
    </w:pPr>
  </w:style>
  <w:style w:type="paragraph" w:styleId="191">
    <w:name w:val="toc 3"/>
    <w:basedOn w:val="699"/>
    <w:next w:val="699"/>
    <w:uiPriority w:val="39"/>
    <w:unhideWhenUsed/>
    <w:pPr>
      <w:pBdr/>
      <w:spacing w:after="100"/>
      <w:ind w:left="440"/>
    </w:pPr>
  </w:style>
  <w:style w:type="paragraph" w:styleId="192">
    <w:name w:val="toc 4"/>
    <w:basedOn w:val="699"/>
    <w:next w:val="699"/>
    <w:uiPriority w:val="39"/>
    <w:unhideWhenUsed/>
    <w:pPr>
      <w:pBdr/>
      <w:spacing w:after="100"/>
      <w:ind w:left="660"/>
    </w:pPr>
  </w:style>
  <w:style w:type="paragraph" w:styleId="193">
    <w:name w:val="toc 5"/>
    <w:basedOn w:val="699"/>
    <w:next w:val="699"/>
    <w:uiPriority w:val="39"/>
    <w:unhideWhenUsed/>
    <w:pPr>
      <w:pBdr/>
      <w:spacing w:after="100"/>
      <w:ind w:left="880"/>
    </w:pPr>
  </w:style>
  <w:style w:type="paragraph" w:styleId="194">
    <w:name w:val="toc 6"/>
    <w:basedOn w:val="699"/>
    <w:next w:val="699"/>
    <w:uiPriority w:val="39"/>
    <w:unhideWhenUsed/>
    <w:pPr>
      <w:pBdr/>
      <w:spacing w:after="100"/>
      <w:ind w:left="1100"/>
    </w:pPr>
  </w:style>
  <w:style w:type="paragraph" w:styleId="195">
    <w:name w:val="toc 7"/>
    <w:basedOn w:val="699"/>
    <w:next w:val="699"/>
    <w:uiPriority w:val="39"/>
    <w:unhideWhenUsed/>
    <w:pPr>
      <w:pBdr/>
      <w:spacing w:after="100"/>
      <w:ind w:left="1320"/>
    </w:pPr>
  </w:style>
  <w:style w:type="paragraph" w:styleId="196">
    <w:name w:val="toc 8"/>
    <w:basedOn w:val="699"/>
    <w:next w:val="699"/>
    <w:uiPriority w:val="39"/>
    <w:unhideWhenUsed/>
    <w:pPr>
      <w:pBdr/>
      <w:spacing w:after="100"/>
      <w:ind w:left="1540"/>
    </w:pPr>
  </w:style>
  <w:style w:type="paragraph" w:styleId="197">
    <w:name w:val="toc 9"/>
    <w:basedOn w:val="699"/>
    <w:next w:val="69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9"/>
    <w:next w:val="699"/>
    <w:uiPriority w:val="99"/>
    <w:unhideWhenUsed/>
    <w:pPr>
      <w:pBdr/>
      <w:spacing w:after="0" w:afterAutospacing="0"/>
      <w:ind/>
    </w:pPr>
  </w:style>
  <w:style w:type="paragraph" w:styleId="699" w:default="1">
    <w:name w:val="Normal"/>
    <w:next w:val="699"/>
    <w:pPr>
      <w:pBdr/>
      <w:spacing/>
      <w:ind/>
    </w:pPr>
    <w:rPr>
      <w:rFonts w:ascii="Georgia" w:hAnsiTheme="minorHAnsi" w:eastAsiaTheme="minorHAnsi" w:cstheme="minorBidi"/>
      <w:sz w:val="21"/>
      <w:szCs w:val="22"/>
      <w:lang w:val="fr-FR" w:eastAsia="en-US" w:bidi="ar-SA"/>
    </w:rPr>
  </w:style>
  <w:style w:type="character" w:styleId="700" w:customStyle="1">
    <w:name w:val="Verbatim Char"/>
    <w:pPr>
      <w:pBdr/>
      <w:spacing/>
      <w:ind/>
    </w:pPr>
    <w:rPr>
      <w:rFonts w:ascii="Consolas" w:hAnsi="Consolas"/>
      <w:sz w:val="22"/>
    </w:rPr>
  </w:style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60" w:type="dxa"/>
        <w:top w:w="80" w:type="dxa"/>
        <w:right w:w="160" w:type="dxa"/>
        <w:bottom w:w="8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Normal Grid"/>
    <w:basedOn w:val="701"/>
    <w:uiPriority w:val="39"/>
    <w:pPr>
      <w:pBdr/>
      <w:spacing w:after="0" w:line="240" w:lineRule="auto"/>
      <w:ind/>
    </w:pPr>
    <w:tblPr>
      <w:tblInd w:w="0" w:type="dxa"/>
      <w:tblCellMar>
        <w:left w:w="160" w:type="dxa"/>
        <w:top w:w="80" w:type="dxa"/>
        <w:right w:w="160" w:type="dxa"/>
        <w:bottom w:w="8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revision>2</cp:revision>
  <dcterms:created xsi:type="dcterms:W3CDTF">2026-02-25T09:53:20Z</dcterms:created>
  <dcterms:modified xsi:type="dcterms:W3CDTF">2026-02-25T14:04:01Z</dcterms:modified>
</cp:coreProperties>
</file>